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8" w:rsidRPr="00E27B72" w:rsidRDefault="009243F8" w:rsidP="009243F8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 w:rsidRPr="00E27B72">
        <w:rPr>
          <w:rFonts w:ascii="Times New Roman" w:eastAsia="黑体" w:hAnsi="黑体"/>
          <w:color w:val="000000"/>
          <w:sz w:val="32"/>
          <w:szCs w:val="32"/>
        </w:rPr>
        <w:t>附件</w:t>
      </w:r>
      <w:r w:rsidRPr="00E27B72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9243F8" w:rsidRPr="00E27B72" w:rsidRDefault="009243F8" w:rsidP="009243F8">
      <w:pPr>
        <w:jc w:val="center"/>
        <w:rPr>
          <w:rFonts w:ascii="Times New Roman" w:eastAsia="方正小标宋简体" w:hAnsi="Times New Roman"/>
          <w:sz w:val="32"/>
          <w:szCs w:val="32"/>
        </w:rPr>
      </w:pPr>
      <w:r w:rsidRPr="00E27B72">
        <w:rPr>
          <w:rFonts w:ascii="Times New Roman" w:eastAsia="方正小标宋简体" w:hAnsi="Times New Roman"/>
          <w:sz w:val="32"/>
          <w:szCs w:val="32"/>
        </w:rPr>
        <w:t>师资团队简介（部分）</w:t>
      </w:r>
    </w:p>
    <w:tbl>
      <w:tblPr>
        <w:tblW w:w="0" w:type="auto"/>
        <w:jc w:val="center"/>
        <w:tblLook w:val="0000"/>
      </w:tblPr>
      <w:tblGrid>
        <w:gridCol w:w="4206"/>
        <w:gridCol w:w="4316"/>
        <w:tblGridChange w:id="0">
          <w:tblGrid>
            <w:gridCol w:w="4206"/>
            <w:gridCol w:w="4316"/>
          </w:tblGrid>
        </w:tblGridChange>
      </w:tblGrid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39850" cy="1552575"/>
                  <wp:effectExtent l="19050" t="0" r="0" b="0"/>
                  <wp:docPr id="1" name="图片 1" descr="1694138197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1694138197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刘德培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工程院院士，原北京协和医学院院校长，博士。曾任中国医学科学院院长、中国协和医科大学校长、美国国家医学院院士，发展中国家科学院院士，中国医学科学部学部委员，中国残疾人联合会第六届主席团副主席，北京市科学技术协会第九届委员会主席、第十届委员会名誉主席。主要从事基因调控、基因治疗与心血管疾病发病机制研究。先后承担国家自然科学基金重大、重点项目、国家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 xml:space="preserve"> 863 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重点项目等，国家自然科学基金委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“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优秀创新群体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”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学术带头人，心血管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 xml:space="preserve"> 973 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项目首席科学家。获得卫生部科技进步奖三项，北京市科技进步奖一项，中华医学科技奖一项，国家自然科学奖一项。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tabs>
                <w:tab w:val="left" w:pos="62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86510" cy="1530985"/>
                  <wp:effectExtent l="19050" t="0" r="8890" b="0"/>
                  <wp:docPr id="2" name="图片 2" descr="巴德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巴德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11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tabs>
                <w:tab w:val="left" w:pos="6218"/>
              </w:tabs>
              <w:jc w:val="center"/>
              <w:rPr>
                <w:rFonts w:ascii="Times New Roman" w:hAnsi="Times New Roman"/>
                <w:noProof/>
              </w:rPr>
            </w:pPr>
            <w:r w:rsidRPr="00E27B72">
              <w:rPr>
                <w:rFonts w:ascii="Times New Roman"/>
                <w:noProof/>
              </w:rPr>
              <w:t>巴德年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工程院院士，原中国医学科学院院长和原中国协和医科大学校长、教授。兼任中华医学会副会长、《中华医学杂志》总编、中国免疫学会名誉理事长、中国生物医学工程学会名誉理事长。首次发现抗胸腺自家抗体，从而揭示了高血压大鼠免疫功能低下原因；用胸腺移植等免疫重建方法，在国际上首次提出了免疫与高血压相关的证据；结合我国实际情况，开展癌转移机理及防治途径的研究，率先在国内建立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5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种高转移动物模型和稳定的高转移性细胞株。同时，在内源性白介素－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2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诱导、同种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LAK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细胞应用、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LAK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细胞杀伤原理以及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LAK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细胞的临床治疗等方面取得一系列成果。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201420" cy="1382395"/>
                  <wp:effectExtent l="1905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420" cy="138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吴沛新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医学科学院北京协和医院党委书记、副院长，第十四届全国政协委员、教科卫体委员会委员。曾任国家卫生健康委科技教育司副司长，长期从事高等医学教育管理、毕业后医学教育与继续医学制度建设与实施、卫生健康科技政策与规划制定与实施、卫生健康领域国家科技专项和公益性行业科研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专项等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科技计划项目的组织管理、高新卫生技术政策制定与评估管理、生物安全制度体系建设与监督管理等工作，具有丰富的卫生健康科技教育政策研究与管理工作经验。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noProof/>
                <w:spacing w:val="2"/>
                <w:sz w:val="24"/>
                <w:szCs w:val="24"/>
              </w:rPr>
              <w:lastRenderedPageBreak/>
              <w:drawing>
                <wp:inline distT="0" distB="0" distL="0" distR="0">
                  <wp:extent cx="1350645" cy="1520190"/>
                  <wp:effectExtent l="19050" t="0" r="1905" b="0"/>
                  <wp:docPr id="4" name="图片 3" descr="169413828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694138289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詹启敏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中国工程院院士、中国工程院医药卫生学部副主任、北京大学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博雅讲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席教授、博士生导师，北京大学原常务副校长、原医学部主任。现任北大校务委员会副主任、北大教育基金会副理事长、北京大学国际癌症研究院院长，北大健康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医疗大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数据国家研究院院长、北京大学肿瘤医院分子肿瘤学研究室主任，苏州大学苏州医学院院长。长期致力于肿瘤分子生物学和肿瘤转化医学研究。教育部长江学者，国家杰出青年基金获得者，新世纪百千万人才工程国家级人选，国家自然科学基金委创新群体首席专家，国家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 xml:space="preserve"> 973 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重大基础研究项目首席科学家。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50645" cy="1552575"/>
                  <wp:effectExtent l="19050" t="0" r="1905" b="0"/>
                  <wp:docPr id="5" name="图片 5" descr="1694138410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1694138410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姚建红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医学科学院北京协和医学院党委书记、副院校长，研究员。曾任国家卫生部药物政策与基本药物制度司副司长，国家卫生和计划生育委员会体制改革司副司长、卫生计生监察专员（正司局长级），国家卫生健康委员会体制改革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司卫生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健康监察专员（正司局长级），卫生部办公厅干部、副处长、处长。长期从事深化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医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改和基层卫生的理论研究、实践推广和重大政策文件的起草工作。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29055" cy="1541780"/>
                  <wp:effectExtent l="19050" t="0" r="4445" b="0"/>
                  <wp:docPr id="6" name="图片 7" descr="1694138437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16941384377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54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林东</w:t>
            </w:r>
            <w:proofErr w:type="gramStart"/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昕</w:t>
            </w:r>
            <w:proofErr w:type="gramEnd"/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中国工程院院士，中国医学科学院北京协和医学院肿瘤医院、中山大学肿瘤防治中心教授，肿瘤遗传学和基因组学专家，中山大学学术委员会委员，中国医学科学院北京协和医学院学术委员会委员，北京大学医学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部学术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委员会委员。主要学术贡献是揭示我国食管癌、胰腺癌等常见肿瘤的基因组和</w:t>
            </w:r>
            <w:proofErr w:type="gramStart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转录组</w:t>
            </w:r>
            <w:proofErr w:type="gramEnd"/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改变与环境交互作用以及对精准治疗的影响。曾获国家自然科学奖二等奖、国家科技进步奖一等奖、二等奖和教育部自然科学奖一等奖。</w:t>
            </w:r>
          </w:p>
        </w:tc>
      </w:tr>
      <w:tr w:rsidR="009243F8" w:rsidRPr="00E27B72" w:rsidTr="004B4EF7">
        <w:trPr>
          <w:jc w:val="center"/>
        </w:trPr>
        <w:tc>
          <w:tcPr>
            <w:tcW w:w="4206" w:type="dxa"/>
            <w:vAlign w:val="center"/>
          </w:tcPr>
          <w:p w:rsidR="009243F8" w:rsidRPr="00E27B72" w:rsidRDefault="009243F8" w:rsidP="004B4EF7">
            <w:pPr>
              <w:jc w:val="center"/>
              <w:rPr>
                <w:rFonts w:ascii="Times New Roman" w:eastAsia="仿宋" w:hAnsi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仿宋" w:hAnsi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29055" cy="1605280"/>
                  <wp:effectExtent l="19050" t="0" r="4445" b="0"/>
                  <wp:docPr id="7" name="图片 8" descr="169413846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694138463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3F8" w:rsidRPr="00E27B72" w:rsidRDefault="009243F8" w:rsidP="004B4EF7">
            <w:pPr>
              <w:jc w:val="center"/>
              <w:rPr>
                <w:rFonts w:ascii="Times New Roman" w:eastAsia="方正小标宋简体" w:hAnsi="Times New Roman"/>
                <w:sz w:val="24"/>
                <w:szCs w:val="24"/>
              </w:rPr>
            </w:pPr>
            <w:r w:rsidRPr="00E27B72">
              <w:rPr>
                <w:rFonts w:ascii="Times New Roman" w:eastAsia="仿宋" w:hAnsi="仿宋"/>
                <w:spacing w:val="2"/>
                <w:sz w:val="24"/>
                <w:szCs w:val="24"/>
              </w:rPr>
              <w:t>李太生</w:t>
            </w:r>
          </w:p>
        </w:tc>
        <w:tc>
          <w:tcPr>
            <w:tcW w:w="4316" w:type="dxa"/>
            <w:vAlign w:val="center"/>
          </w:tcPr>
          <w:p w:rsidR="009243F8" w:rsidRPr="00E27B72" w:rsidRDefault="009243F8" w:rsidP="004B4EF7">
            <w:pPr>
              <w:widowControl/>
              <w:ind w:firstLineChars="200" w:firstLine="400"/>
              <w:jc w:val="left"/>
              <w:rPr>
                <w:rFonts w:ascii="Times New Roman" w:eastAsia="方正小标宋简体" w:hAnsi="Times New Roman"/>
                <w:sz w:val="32"/>
                <w:szCs w:val="32"/>
              </w:rPr>
            </w:pP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中国医学科学院北京协和医院感染内科主任，主任医师、教授、博士研究生导师，中华医学会感染性疾病分会主任委员。《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CID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》与《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AIDS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》中文版主编，《中华内科杂志》和《中华传染病杂志》副主编。致力于感染性疾病临床诊治及科研近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 xml:space="preserve"> 40 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年。获吴阶平医学药学创新奖、国家科技进步二等奖、教育部科技进步一等奖、国家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“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百千万人才工程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”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人选、首批国家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“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科技创新领军人才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”</w:t>
            </w:r>
            <w:r w:rsidRPr="00E27B72">
              <w:rPr>
                <w:rFonts w:ascii="Times New Roman" w:eastAsia="楷体_GB2312" w:hAnsi="Times New Roman"/>
                <w:color w:val="231F20"/>
                <w:kern w:val="0"/>
                <w:sz w:val="20"/>
                <w:szCs w:val="20"/>
              </w:rPr>
              <w:t>。</w:t>
            </w:r>
          </w:p>
        </w:tc>
      </w:tr>
    </w:tbl>
    <w:p w:rsidR="00B655FE" w:rsidRPr="009243F8" w:rsidRDefault="00B655FE"/>
    <w:sectPr w:rsidR="00B655FE" w:rsidRPr="009243F8" w:rsidSect="009243F8"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3F8"/>
    <w:rsid w:val="001904A0"/>
    <w:rsid w:val="00397AA8"/>
    <w:rsid w:val="00586348"/>
    <w:rsid w:val="006D0B04"/>
    <w:rsid w:val="007306C9"/>
    <w:rsid w:val="009243F8"/>
    <w:rsid w:val="0097681D"/>
    <w:rsid w:val="009D074C"/>
    <w:rsid w:val="00B655FE"/>
    <w:rsid w:val="00BA65B7"/>
    <w:rsid w:val="00E432C1"/>
    <w:rsid w:val="00E71C6B"/>
    <w:rsid w:val="00F65EEC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bCs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8"/>
    <w:pPr>
      <w:widowControl w:val="0"/>
      <w:jc w:val="both"/>
    </w:pPr>
    <w:rPr>
      <w:rFonts w:ascii="Calibri" w:eastAsia="宋体" w:hAnsi="Calibri"/>
      <w:bCs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43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43F8"/>
    <w:rPr>
      <w:rFonts w:ascii="Calibri" w:eastAsia="宋体" w:hAnsi="Calibri"/>
      <w:bCs w:val="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</cp:revision>
  <dcterms:created xsi:type="dcterms:W3CDTF">2023-09-15T08:00:00Z</dcterms:created>
  <dcterms:modified xsi:type="dcterms:W3CDTF">2023-09-15T08:01:00Z</dcterms:modified>
</cp:coreProperties>
</file>